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07ED1" w14:textId="77777777" w:rsidR="005A128A" w:rsidRPr="004858B5" w:rsidRDefault="004858B5" w:rsidP="004858B5">
      <w:pPr>
        <w:jc w:val="right"/>
      </w:pPr>
      <w:r w:rsidRPr="004858B5">
        <w:tab/>
      </w:r>
      <w:r w:rsidRPr="004858B5">
        <w:tab/>
        <w:t>Zał. nr 3</w:t>
      </w:r>
    </w:p>
    <w:p w14:paraId="359DCEB3" w14:textId="77777777" w:rsidR="005A128A" w:rsidRPr="004858B5" w:rsidRDefault="005A128A" w:rsidP="004858B5">
      <w:pPr>
        <w:jc w:val="both"/>
      </w:pPr>
    </w:p>
    <w:p w14:paraId="020F7A67" w14:textId="77777777" w:rsidR="005A128A" w:rsidRPr="004858B5" w:rsidRDefault="004858B5" w:rsidP="004858B5">
      <w:pPr>
        <w:jc w:val="both"/>
      </w:pPr>
      <w:r w:rsidRPr="004858B5">
        <w:tab/>
      </w:r>
    </w:p>
    <w:p w14:paraId="26D77EF0" w14:textId="77777777" w:rsidR="005A128A" w:rsidRPr="004858B5" w:rsidRDefault="004858B5" w:rsidP="004858B5">
      <w:pPr>
        <w:jc w:val="center"/>
        <w:rPr>
          <w:b/>
          <w:bCs/>
          <w:sz w:val="28"/>
          <w:szCs w:val="28"/>
        </w:rPr>
      </w:pPr>
      <w:r w:rsidRPr="004858B5">
        <w:rPr>
          <w:b/>
          <w:bCs/>
          <w:sz w:val="28"/>
          <w:szCs w:val="28"/>
        </w:rPr>
        <w:t>SZCZEGÓŁOWY OPIS PRZEDMIOTU ZAMÓWIENIA</w:t>
      </w:r>
    </w:p>
    <w:p w14:paraId="342D7589" w14:textId="77777777" w:rsidR="005A128A" w:rsidRPr="004858B5" w:rsidRDefault="004858B5" w:rsidP="004858B5">
      <w:pPr>
        <w:jc w:val="both"/>
      </w:pPr>
      <w:r w:rsidRPr="004858B5">
        <w:tab/>
      </w:r>
      <w:r w:rsidRPr="004858B5">
        <w:tab/>
      </w:r>
      <w:r w:rsidRPr="004858B5">
        <w:tab/>
      </w:r>
    </w:p>
    <w:p w14:paraId="3DD8DF8A" w14:textId="49E1E0A5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>
        <w:t>P</w:t>
      </w:r>
      <w:r w:rsidRPr="004858B5">
        <w:t xml:space="preserve">rzedmiotem zamówienia jest </w:t>
      </w:r>
      <w:r w:rsidRPr="004858B5">
        <w:t xml:space="preserve"> dostawa  energii elektrycznej na potrzeby  Wojewódzkiej</w:t>
      </w:r>
      <w:r>
        <w:t xml:space="preserve"> </w:t>
      </w:r>
      <w:r w:rsidRPr="004858B5">
        <w:t xml:space="preserve">Sanitarno-Epidemiologicznej w Poznaniu oraz 10 PSSE – Czarnków, Grodzisk Wlkp., Kępno, </w:t>
      </w:r>
      <w:r w:rsidRPr="004858B5">
        <w:t>Kościan, Międzychód, Nowy Tomyśl, Szamotuły, Śrem, Wągrowiec, Wolsztyn, w terminie od  01.01.2020 r. do 31.12.2020 r.</w:t>
      </w:r>
    </w:p>
    <w:p w14:paraId="43062F50" w14:textId="225A2AFE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 w:rsidRPr="004858B5">
        <w:t>Dostawa energii elektrycznej odbywać się będzie  na warunkach określonych przepisami ustawy</w:t>
      </w:r>
      <w:r>
        <w:t xml:space="preserve"> </w:t>
      </w:r>
      <w:r w:rsidRPr="004858B5">
        <w:t>z dnia 10.04</w:t>
      </w:r>
      <w:bookmarkStart w:id="0" w:name="_GoBack"/>
      <w:bookmarkEnd w:id="0"/>
      <w:r w:rsidRPr="004858B5">
        <w:t>.1</w:t>
      </w:r>
      <w:r w:rsidRPr="004858B5">
        <w:t>997 r. Prawo Energetyczne (</w:t>
      </w:r>
      <w:r w:rsidRPr="004858B5">
        <w:t>Dz.U. 1997 nr 54 poz.348 z późniejszymi zmianami),</w:t>
      </w:r>
      <w:r>
        <w:t xml:space="preserve"> </w:t>
      </w:r>
      <w:r w:rsidRPr="004858B5">
        <w:t>Kodeksu Cywilnego, oraz  przepisami wykonawczymi wydanymi na ich podstawie.</w:t>
      </w:r>
    </w:p>
    <w:p w14:paraId="2CD066ED" w14:textId="79AAA3C8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 w:rsidRPr="004858B5">
        <w:t xml:space="preserve">Wykaz punktów poboru energii elektrycznej i ich podstawowe </w:t>
      </w:r>
      <w:r w:rsidRPr="004858B5">
        <w:t>parametry techniczne ujęte</w:t>
      </w:r>
      <w:r>
        <w:t xml:space="preserve"> </w:t>
      </w:r>
      <w:r w:rsidRPr="004858B5">
        <w:t>zostały w zał. nr 4</w:t>
      </w:r>
    </w:p>
    <w:p w14:paraId="0BDE1A9F" w14:textId="68EC7623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 w:rsidRPr="004858B5">
        <w:t xml:space="preserve">Szacunkowe zużycie energii dla budynków podanych w w/w zał. </w:t>
      </w:r>
      <w:r w:rsidRPr="004858B5">
        <w:t>w okresie od 01.</w:t>
      </w:r>
      <w:r w:rsidRPr="004858B5">
        <w:t>01.</w:t>
      </w:r>
      <w:r>
        <w:t>2020</w:t>
      </w:r>
      <w:r w:rsidRPr="004858B5">
        <w:t xml:space="preserve"> do  </w:t>
      </w:r>
      <w:r>
        <w:t>3</w:t>
      </w:r>
      <w:r w:rsidRPr="004858B5">
        <w:t>1.12.2020 r. wynosi: WSSE w Poznaniu - 560  kWh; PSSE – 153 797 kWh.</w:t>
      </w:r>
    </w:p>
    <w:p w14:paraId="5D8A7305" w14:textId="2C012E82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 w:rsidRPr="004858B5">
        <w:t>Szacunkowa ilość zamawiane</w:t>
      </w:r>
      <w:r w:rsidRPr="004858B5">
        <w:t>j energii dla budynków wykazanych  w zał. nr. 4</w:t>
      </w:r>
      <w:r w:rsidRPr="004858B5">
        <w:t>, na charakter</w:t>
      </w:r>
      <w:r>
        <w:t xml:space="preserve"> </w:t>
      </w:r>
      <w:r w:rsidRPr="004858B5">
        <w:t>orientacyjny i w żadnym wypadku nie stanowi ze strony Zamawiającego zobowiązania do zakupu</w:t>
      </w:r>
      <w:r>
        <w:t xml:space="preserve"> </w:t>
      </w:r>
      <w:r w:rsidRPr="004858B5">
        <w:t>energii w podanej ilości. Wykonawcy nie będzie przysługiwało jakiekolwiek roszczenie z tytułu</w:t>
      </w:r>
      <w:r>
        <w:t xml:space="preserve"> </w:t>
      </w:r>
      <w:r w:rsidRPr="004858B5">
        <w:t>nie pobrania przez Zamawiającego przewidywanej maksymalnej ilości energii.</w:t>
      </w:r>
      <w:r>
        <w:t xml:space="preserve"> </w:t>
      </w:r>
      <w:r w:rsidRPr="004858B5">
        <w:t>Ewentualna</w:t>
      </w:r>
      <w:r>
        <w:t xml:space="preserve"> </w:t>
      </w:r>
      <w:r w:rsidRPr="004858B5">
        <w:t>zmiana przewidywanego szacunkowego zużycia nie będzie skutkowała dodatkowymi kosztami</w:t>
      </w:r>
      <w:r>
        <w:t xml:space="preserve"> </w:t>
      </w:r>
      <w:r w:rsidRPr="004858B5">
        <w:t>dla Zmawiającego, poza rozliczeniem za faktycznie zużytą ilość energii w</w:t>
      </w:r>
      <w:r w:rsidRPr="004858B5">
        <w:t>g cen określonych w</w:t>
      </w:r>
      <w:r>
        <w:t xml:space="preserve"> </w:t>
      </w:r>
      <w:r w:rsidRPr="004858B5">
        <w:t>dokumentacji przetargowej.</w:t>
      </w:r>
    </w:p>
    <w:p w14:paraId="6BC0A3AC" w14:textId="2CFCC215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 w:rsidRPr="004858B5">
        <w:t>Zamawiający będzie nabywał energię elektryczną na potrzeby własne jako odbiorca końcowy.</w:t>
      </w:r>
    </w:p>
    <w:p w14:paraId="54F943C3" w14:textId="57E3CC75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>
        <w:t>D</w:t>
      </w:r>
      <w:r w:rsidRPr="004858B5">
        <w:t>ostawca energii zobowiązany jest do</w:t>
      </w:r>
      <w:r w:rsidRPr="004858B5">
        <w:t xml:space="preserve"> powiadomienia </w:t>
      </w:r>
      <w:r w:rsidRPr="004858B5">
        <w:t xml:space="preserve"> </w:t>
      </w:r>
      <w:r w:rsidRPr="004858B5">
        <w:t>Operatora Systemu Dystrybucyjnego</w:t>
      </w:r>
      <w:r>
        <w:t xml:space="preserve"> </w:t>
      </w:r>
      <w:r w:rsidRPr="004858B5">
        <w:t>(OSD</w:t>
      </w:r>
      <w:r w:rsidRPr="004858B5">
        <w:t>)</w:t>
      </w:r>
      <w:r>
        <w:t xml:space="preserve"> </w:t>
      </w:r>
      <w:r w:rsidRPr="004858B5">
        <w:t xml:space="preserve">właściwego  </w:t>
      </w:r>
      <w:r w:rsidRPr="004858B5">
        <w:t>dla obiektów Zamawiającego o zawartej umowie sprzedaży energii</w:t>
      </w:r>
      <w:r>
        <w:t xml:space="preserve"> </w:t>
      </w:r>
      <w:r w:rsidRPr="004858B5">
        <w:t>elektrycznej.</w:t>
      </w:r>
    </w:p>
    <w:p w14:paraId="04C69654" w14:textId="6FEC6344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 w:rsidRPr="004858B5">
        <w:t>Dostarczana energia  elektryczna musi spełniać standardy techniczne zgodnie z zapisami ustawy z</w:t>
      </w:r>
      <w:r>
        <w:t xml:space="preserve"> </w:t>
      </w:r>
      <w:r w:rsidRPr="004858B5">
        <w:t xml:space="preserve">dnia 10 kwietnia 1997r. – Prawo energetyczne oraz </w:t>
      </w:r>
      <w:r w:rsidRPr="004858B5">
        <w:t>rozporządzeniami wykonawczymi do tej</w:t>
      </w:r>
      <w:r>
        <w:t xml:space="preserve"> </w:t>
      </w:r>
      <w:r w:rsidRPr="004858B5">
        <w:t>ustawy i Polskimi Normami.</w:t>
      </w:r>
      <w:r w:rsidRPr="004858B5">
        <w:tab/>
      </w:r>
    </w:p>
    <w:p w14:paraId="5181B5A2" w14:textId="745499E9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 w:rsidRPr="004858B5">
        <w:t xml:space="preserve">Cena zaoferowana przez Wykonawcę jest stała przez cały okres obowiązywania umowy </w:t>
      </w:r>
      <w:r>
        <w:br/>
      </w:r>
      <w:r w:rsidRPr="004858B5">
        <w:t>i nie</w:t>
      </w:r>
      <w:r>
        <w:t xml:space="preserve"> </w:t>
      </w:r>
      <w:r w:rsidRPr="004858B5">
        <w:t xml:space="preserve">podlega zmianie. </w:t>
      </w:r>
    </w:p>
    <w:p w14:paraId="7821ECA1" w14:textId="0F0D5D5E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 w:rsidRPr="004858B5">
        <w:t xml:space="preserve">Umowa ulega rozwiązaniu z dniem 31.12.2020 r. i nie wymaga </w:t>
      </w:r>
      <w:r w:rsidRPr="004858B5">
        <w:t xml:space="preserve">wcześniejszego wypowiedzenia. </w:t>
      </w:r>
    </w:p>
    <w:p w14:paraId="487FC217" w14:textId="2F29DEC9" w:rsidR="005A128A" w:rsidRPr="004858B5" w:rsidRDefault="004858B5" w:rsidP="004858B5">
      <w:pPr>
        <w:pStyle w:val="Akapitzlist"/>
        <w:numPr>
          <w:ilvl w:val="0"/>
          <w:numId w:val="3"/>
        </w:numPr>
        <w:ind w:left="426" w:hanging="426"/>
        <w:jc w:val="both"/>
      </w:pPr>
      <w:r w:rsidRPr="004858B5">
        <w:t xml:space="preserve">Rozliczenie finansowe w cyklach miesięcznych, z terminem płatności 30 dni </w:t>
      </w:r>
      <w:r w:rsidRPr="004858B5">
        <w:t>od daty wystawienia faktury VAT. Wykonawca zobowiązany będzie do wystawiania odrębnej faktury dla każdego z podmiotów tj. Wojewódzkiej Stacji Sani</w:t>
      </w:r>
      <w:r w:rsidRPr="004858B5">
        <w:t xml:space="preserve">tarno-Epidemiologicznej </w:t>
      </w:r>
      <w:r>
        <w:br/>
      </w:r>
      <w:r w:rsidRPr="004858B5">
        <w:t xml:space="preserve">w Poznaniu oraz Powiatowych Stacji Sanitarno-Epidemiologicznych w </w:t>
      </w:r>
      <w:r w:rsidRPr="004858B5">
        <w:t xml:space="preserve">Czarnkowie, Grodzisku Wlkp., </w:t>
      </w:r>
      <w:r w:rsidRPr="004858B5">
        <w:t>Kępnie, Kościanie, Międzychodzie, Nowym Tomyślu, Szamotułach, Śremie, Wolsztynie</w:t>
      </w:r>
      <w:r w:rsidRPr="004858B5">
        <w:t>.</w:t>
      </w:r>
    </w:p>
    <w:p w14:paraId="6845D1E2" w14:textId="77777777" w:rsidR="005A128A" w:rsidRPr="004858B5" w:rsidRDefault="005A128A" w:rsidP="004858B5">
      <w:pPr>
        <w:jc w:val="both"/>
      </w:pPr>
    </w:p>
    <w:p w14:paraId="5991A9A9" w14:textId="77777777" w:rsidR="005A128A" w:rsidRPr="004858B5" w:rsidRDefault="005A128A" w:rsidP="004858B5">
      <w:pPr>
        <w:jc w:val="both"/>
      </w:pPr>
    </w:p>
    <w:p w14:paraId="44269B13" w14:textId="77777777" w:rsidR="005A128A" w:rsidRPr="004858B5" w:rsidRDefault="005A128A" w:rsidP="004858B5">
      <w:pPr>
        <w:jc w:val="both"/>
      </w:pPr>
    </w:p>
    <w:p w14:paraId="18180A36" w14:textId="77777777" w:rsidR="005A128A" w:rsidRPr="004858B5" w:rsidRDefault="005A128A" w:rsidP="004858B5">
      <w:pPr>
        <w:jc w:val="both"/>
      </w:pPr>
    </w:p>
    <w:p w14:paraId="6D4C7914" w14:textId="77777777" w:rsidR="005A128A" w:rsidRPr="004858B5" w:rsidRDefault="005A128A" w:rsidP="004858B5">
      <w:pPr>
        <w:jc w:val="both"/>
      </w:pPr>
    </w:p>
    <w:p w14:paraId="29CDEEB3" w14:textId="77777777" w:rsidR="005A128A" w:rsidRPr="004858B5" w:rsidRDefault="005A128A" w:rsidP="004858B5">
      <w:pPr>
        <w:jc w:val="both"/>
      </w:pPr>
    </w:p>
    <w:p w14:paraId="5C4B1B5F" w14:textId="77777777" w:rsidR="005A128A" w:rsidRPr="004858B5" w:rsidRDefault="004858B5" w:rsidP="004858B5">
      <w:pPr>
        <w:jc w:val="both"/>
      </w:pPr>
      <w:r w:rsidRPr="004858B5">
        <w:t xml:space="preserve">                                                </w:t>
      </w:r>
      <w:r w:rsidRPr="004858B5">
        <w:t xml:space="preserve">                                         </w:t>
      </w:r>
    </w:p>
    <w:p w14:paraId="4865FD41" w14:textId="77777777" w:rsidR="005A128A" w:rsidRPr="004858B5" w:rsidRDefault="004858B5" w:rsidP="004858B5">
      <w:pPr>
        <w:jc w:val="both"/>
      </w:pPr>
      <w:r w:rsidRPr="004858B5">
        <w:t xml:space="preserve">                                                                                      </w:t>
      </w:r>
    </w:p>
    <w:sectPr w:rsidR="005A128A" w:rsidRPr="004858B5" w:rsidSect="004858B5">
      <w:footerReference w:type="default" r:id="rId7"/>
      <w:pgSz w:w="11906" w:h="16838"/>
      <w:pgMar w:top="1417" w:right="1417" w:bottom="1417" w:left="1417" w:header="708" w:footer="30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B8C07B" w14:textId="77777777" w:rsidR="00000000" w:rsidRDefault="004858B5">
      <w:r>
        <w:separator/>
      </w:r>
    </w:p>
  </w:endnote>
  <w:endnote w:type="continuationSeparator" w:id="0">
    <w:p w14:paraId="5B9B3E42" w14:textId="77777777" w:rsidR="00000000" w:rsidRDefault="00485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E8D48" w14:textId="77777777" w:rsidR="00F41278" w:rsidRDefault="004858B5">
    <w:pPr>
      <w:pStyle w:val="Stopka"/>
      <w:ind w:right="360"/>
      <w:jc w:val="right"/>
    </w:pPr>
    <w:r>
      <w:rPr>
        <w:sz w:val="16"/>
        <w:szCs w:val="16"/>
      </w:rPr>
      <w:t xml:space="preserve">Strona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 ARABIC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3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1761E" w14:textId="77777777" w:rsidR="00000000" w:rsidRDefault="004858B5">
      <w:r>
        <w:rPr>
          <w:color w:val="000000"/>
        </w:rPr>
        <w:separator/>
      </w:r>
    </w:p>
  </w:footnote>
  <w:footnote w:type="continuationSeparator" w:id="0">
    <w:p w14:paraId="389EF70B" w14:textId="77777777" w:rsidR="00000000" w:rsidRDefault="00485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A1205"/>
    <w:multiLevelType w:val="hybridMultilevel"/>
    <w:tmpl w:val="FABEE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17FA9"/>
    <w:multiLevelType w:val="multilevel"/>
    <w:tmpl w:val="84C87020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b/>
        <w:color w:val="FF420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D0A73DF"/>
    <w:multiLevelType w:val="multilevel"/>
    <w:tmpl w:val="ED4AD43C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Courier New" w:hAnsi="Courier New" w:cs="Courier New"/>
        <w:b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A128A"/>
    <w:rsid w:val="004858B5"/>
    <w:rsid w:val="005A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7510"/>
  <w15:docId w15:val="{C7C5620D-CB5F-48F4-9C8D-41CF5CB8B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eastAsia="Lucida Sans Unicode"/>
    </w:rPr>
  </w:style>
  <w:style w:type="character" w:customStyle="1" w:styleId="WW8Num1z0">
    <w:name w:val="WW8Num1z0"/>
    <w:rPr>
      <w:b/>
      <w:color w:val="FF420E"/>
    </w:rPr>
  </w:style>
  <w:style w:type="character" w:customStyle="1" w:styleId="WW8Num2z0">
    <w:name w:val="WW8Num2z0"/>
    <w:rPr>
      <w:rFonts w:ascii="Courier New" w:hAnsi="Courier New" w:cs="Courier New"/>
      <w:b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  <w:rPr>
      <w:rFonts w:ascii="Courier New" w:hAnsi="Courier New" w:cs="Courier New"/>
      <w:b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b/>
    </w:rPr>
  </w:style>
  <w:style w:type="character" w:customStyle="1" w:styleId="WW8Num3z1">
    <w:name w:val="WW8Num3z1"/>
    <w:rPr>
      <w:rFonts w:ascii="Wingdings" w:hAnsi="Wingdings" w:cs="Wingdings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4"/>
      <w:szCs w:val="24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  <w:rPr>
      <w:rFonts w:ascii="Wingdings" w:hAnsi="Wingdings" w:cs="Wingdings"/>
      <w:b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postbody">
    <w:name w:val="postbody"/>
    <w:basedOn w:val="Domylnaczcionkaakapitu"/>
  </w:style>
  <w:style w:type="character" w:styleId="Numerstrony">
    <w:name w:val="page number"/>
    <w:basedOn w:val="Domylnaczcionkaakapitu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Akapitzlist">
    <w:name w:val="List Paragraph"/>
    <w:basedOn w:val="Normalny"/>
    <w:uiPriority w:val="34"/>
    <w:qFormat/>
    <w:rsid w:val="004858B5"/>
    <w:pPr>
      <w:ind w:left="720"/>
      <w:contextualSpacing/>
    </w:pPr>
    <w:rPr>
      <w:szCs w:val="21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OEA-ZP-2-07/06</dc:title>
  <dc:creator>zampub</dc:creator>
  <cp:lastModifiedBy>Mirosław Piana</cp:lastModifiedBy>
  <cp:revision>2</cp:revision>
  <cp:lastPrinted>2015-10-16T12:44:00Z</cp:lastPrinted>
  <dcterms:created xsi:type="dcterms:W3CDTF">2019-10-10T05:59:00Z</dcterms:created>
  <dcterms:modified xsi:type="dcterms:W3CDTF">2019-10-10T05:59:00Z</dcterms:modified>
</cp:coreProperties>
</file>